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280"/>
      </w:pPr>
      <w:r>
        <w:rPr>
          <w:b/>
          <w:bCs/>
          <w:color w:val="EC3013"/>
          <w:sz w:val="36"/>
          <w:szCs w:val="36"/>
        </w:rPr>
        <w:t xml:space="preserve">About this unit</w:t>
      </w:r>
    </w:p>
    <w:p>
      <w:pPr>
        <w:spacing w:after="140"/>
      </w:pPr>
      <w:r>
        <w:rPr>
          <w:b/>
          <w:bCs/>
          <w:color w:val="201E1D"/>
          <w:sz w:val="22"/>
          <w:szCs w:val="22"/>
        </w:rPr>
        <w:t xml:space="preserve">CPCCCM2006 — Apply basic levelling procedures</w:t>
      </w:r>
    </w:p>
    <w:p>
      <w:pPr>
        <w:spacing w:after="140"/>
      </w:pPr>
      <w:r>
        <w:rPr>
          <w:b w:val="false"/>
          <w:bCs w:val="false"/>
          <w:color w:val="6B6560"/>
          <w:sz w:val="18"/>
          <w:szCs w:val="18"/>
        </w:rPr>
        <w:t xml:space="preserve">Sample RTO</w:t>
      </w:r>
    </w:p>
    <w:p>
      <w:pPr>
        <w:spacing w:after="140"/>
      </w:pPr>
      <w:r>
        <w:rPr>
          <w:b w:val="false"/>
          <w:bCs w:val="false"/>
          <w:color w:val="201E1D"/>
          <w:sz w:val="22"/>
          <w:szCs w:val="22"/>
        </w:rPr>
        <w:t xml:space="preserve">This unit of competency specifies the outcomes required to carry out levelling in a single plane for the purpose of establishing correct and accurate set-out of building components. It includes the set-up, testing and use of levelling devices, and establishing and transferring heights using a range of levelling equipment.</w:t>
      </w:r>
    </w:p>
    <w:p>
      <w:pPr>
        <w:pStyle w:val="Heading2"/>
        <w:pBdr>
          <w:bottom w:val="single" w:color="EC3013" w:sz="12" w:space="2"/>
        </w:pBdr>
        <w:spacing w:after="220" w:before="280"/>
      </w:pPr>
      <w:r>
        <w:rPr>
          <w:b/>
          <w:bCs/>
          <w:color w:val="201E1D"/>
          <w:sz w:val="28"/>
          <w:szCs w:val="28"/>
        </w:rPr>
        <w:t xml:space="preserve">What you will learn</w:t>
      </w:r>
    </w:p>
    <w:p>
      <w:pPr>
        <w:spacing w:after="140"/>
      </w:pPr>
      <w:r>
        <w:rPr>
          <w:b w:val="false"/>
          <w:bCs w:val="false"/>
          <w:color w:val="201E1D"/>
          <w:sz w:val="22"/>
          <w:szCs w:val="22"/>
        </w:rPr>
        <w:t xml:space="preserve">· Plan and prepare</w:t>
      </w:r>
    </w:p>
    <w:p>
      <w:pPr>
        <w:spacing w:after="140"/>
      </w:pPr>
      <w:r>
        <w:rPr>
          <w:b w:val="false"/>
          <w:bCs w:val="false"/>
          <w:color w:val="201E1D"/>
          <w:sz w:val="22"/>
          <w:szCs w:val="22"/>
        </w:rPr>
        <w:t xml:space="preserve">· Set up and use levelling device</w:t>
      </w:r>
    </w:p>
    <w:p>
      <w:pPr>
        <w:spacing w:after="140"/>
      </w:pPr>
      <w:r>
        <w:rPr>
          <w:b w:val="false"/>
          <w:bCs w:val="false"/>
          <w:color w:val="201E1D"/>
          <w:sz w:val="22"/>
          <w:szCs w:val="22"/>
        </w:rPr>
        <w:t xml:space="preserve">· Clean up</w:t>
      </w:r>
    </w:p>
    <w:p>
      <w:pPr>
        <w:pStyle w:val="Heading2"/>
        <w:pBdr>
          <w:bottom w:val="single" w:color="EC3013" w:sz="12" w:space="2"/>
        </w:pBdr>
        <w:spacing w:after="220" w:before="280"/>
      </w:pPr>
      <w:r>
        <w:rPr>
          <w:b/>
          <w:bCs/>
          <w:color w:val="201E1D"/>
          <w:sz w:val="28"/>
          <w:szCs w:val="28"/>
        </w:rPr>
        <w:t xml:space="preserve">How you show you can do it</w:t>
      </w:r>
    </w:p>
    <w:p>
      <w:pPr>
        <w:spacing w:after="140"/>
      </w:pPr>
      <w:r>
        <w:rPr>
          <w:b w:val="false"/>
          <w:bCs w:val="false"/>
          <w:color w:val="201E1D"/>
          <w:sz w:val="22"/>
          <w:szCs w:val="22"/>
        </w:rPr>
        <w:t xml:space="preserve">· Written assessment (knowledge questions) — You answer questions in writing — or out loud if that works better for you. Just ask.</w:t>
      </w:r>
    </w:p>
    <w:p>
      <w:pPr>
        <w:spacing w:after="140"/>
      </w:pPr>
      <w:r>
        <w:rPr>
          <w:b w:val="false"/>
          <w:bCs w:val="false"/>
          <w:color w:val="201E1D"/>
          <w:sz w:val="22"/>
          <w:szCs w:val="22"/>
        </w:rPr>
        <w:t xml:space="preserve">· Video assessment: Element 1: Plan and prepare — You film yourself doing the task while explaining what you are doing and why.</w:t>
      </w:r>
    </w:p>
    <w:p>
      <w:pPr>
        <w:spacing w:after="140"/>
      </w:pPr>
      <w:r>
        <w:rPr>
          <w:b w:val="false"/>
          <w:bCs w:val="false"/>
          <w:color w:val="201E1D"/>
          <w:sz w:val="22"/>
          <w:szCs w:val="22"/>
        </w:rPr>
        <w:t xml:space="preserve">· Video assessment: Element 2: Set up and use levelling device — You film yourself doing the task while explaining what you are doing and why.</w:t>
      </w:r>
    </w:p>
    <w:p>
      <w:pPr>
        <w:spacing w:after="140"/>
      </w:pPr>
      <w:r>
        <w:rPr>
          <w:b w:val="false"/>
          <w:bCs w:val="false"/>
          <w:color w:val="201E1D"/>
          <w:sz w:val="22"/>
          <w:szCs w:val="22"/>
        </w:rPr>
        <w:t xml:space="preserve">· Video assessment: Element 3: Clean up — You film yourself doing the task while explaining what you are doing and why.</w:t>
      </w:r>
    </w:p>
    <w:p>
      <w:pPr>
        <w:spacing w:after="140"/>
      </w:pPr>
      <w:r>
        <w:rPr>
          <w:b w:val="false"/>
          <w:bCs w:val="false"/>
          <w:color w:val="201E1D"/>
          <w:sz w:val="22"/>
          <w:szCs w:val="22"/>
        </w:rPr>
        <w:t xml:space="preserve">· Observation checklists — Your assessor watches you do the task and checks off each step.</w:t>
      </w:r>
    </w:p>
    <w:p>
      <w:pPr>
        <w:spacing w:after="140"/>
      </w:pPr>
      <w:r>
        <w:rPr>
          <w:b w:val="false"/>
          <w:bCs w:val="false"/>
          <w:color w:val="201E1D"/>
          <w:sz w:val="22"/>
          <w:szCs w:val="22"/>
        </w:rPr>
        <w:t xml:space="preserve">· Portfolio of evidence — You collect evidence of your work — photos, documents, completed forms.</w:t>
      </w:r>
    </w:p>
    <w:p>
      <w:pPr>
        <w:spacing w:after="140"/>
      </w:pPr>
      <w:r>
        <w:rPr>
          <w:b w:val="false"/>
          <w:bCs w:val="false"/>
          <w:color w:val="201E1D"/>
          <w:sz w:val="22"/>
          <w:szCs w:val="22"/>
        </w:rPr>
        <w:t xml:space="preserve">· Site documents (Job Safety Analysis, Hazard Report Form, Incident / Near-miss Report) — You fill in real workplace documents the way you would on site.</w:t>
      </w:r>
    </w:p>
    <w:p>
      <w:pPr>
        <w:spacing w:after="140"/>
      </w:pPr>
      <w:r>
        <w:rPr>
          <w:b w:val="false"/>
          <w:bCs w:val="false"/>
          <w:color w:val="201E1D"/>
          <w:sz w:val="22"/>
          <w:szCs w:val="22"/>
        </w:rPr>
        <w:t xml:space="preserve">· Direct observation (occasion 1 of 3) — Your assessor watches you do the task and checks off each step.</w:t>
      </w:r>
    </w:p>
    <w:p>
      <w:pPr>
        <w:spacing w:after="140"/>
      </w:pPr>
      <w:r>
        <w:rPr>
          <w:b w:val="false"/>
          <w:bCs w:val="false"/>
          <w:color w:val="201E1D"/>
          <w:sz w:val="22"/>
          <w:szCs w:val="22"/>
        </w:rPr>
        <w:t xml:space="preserve">· Direct observation (occasion 2 of 3) — Your assessor watches you do the task and checks off each step.</w:t>
      </w:r>
    </w:p>
    <w:p>
      <w:pPr>
        <w:pStyle w:val="Heading2"/>
        <w:pBdr>
          <w:bottom w:val="single" w:color="EC3013" w:sz="12" w:space="2"/>
        </w:pBdr>
        <w:spacing w:after="220" w:before="280"/>
      </w:pPr>
      <w:r>
        <w:rPr>
          <w:b/>
          <w:bCs/>
          <w:color w:val="201E1D"/>
          <w:sz w:val="28"/>
          <w:szCs w:val="28"/>
        </w:rPr>
        <w:t xml:space="preserve">How marking works</w:t>
      </w:r>
    </w:p>
    <w:p>
      <w:pPr>
        <w:spacing w:after="140"/>
      </w:pPr>
      <w:r>
        <w:rPr>
          <w:b w:val="false"/>
          <w:bCs w:val="false"/>
          <w:color w:val="201E1D"/>
          <w:sz w:val="22"/>
          <w:szCs w:val="22"/>
        </w:rPr>
        <w:t xml:space="preserve">There are no percentages and no grades. For each task you are either Satisfactory or Not yet satisfactory — and “not yet” means exactly that: you get feedback and another go. When every task is satisfactory you are marked Competent in the unit.</w:t>
      </w:r>
    </w:p>
    <w:p>
      <w:pPr>
        <w:pStyle w:val="Heading2"/>
        <w:pBdr>
          <w:bottom w:val="single" w:color="EC3013" w:sz="12" w:space="2"/>
        </w:pBdr>
        <w:spacing w:after="220" w:before="280"/>
      </w:pPr>
      <w:r>
        <w:rPr>
          <w:b/>
          <w:bCs/>
          <w:color w:val="201E1D"/>
          <w:sz w:val="28"/>
          <w:szCs w:val="28"/>
        </w:rPr>
        <w:t xml:space="preserve">If you need support</w:t>
      </w:r>
    </w:p>
    <w:p>
      <w:pPr>
        <w:spacing w:after="140"/>
      </w:pPr>
      <w:r>
        <w:rPr>
          <w:b w:val="false"/>
          <w:bCs w:val="false"/>
          <w:color w:val="201E1D"/>
          <w:sz w:val="22"/>
          <w:szCs w:val="22"/>
        </w:rPr>
        <w:t xml:space="preserve">If reading or writing gets in the way, questions can be asked and answered out loud, and you can have extra time. That does not change what you need to know or be able to do. Talk to your trainer early — and you can ask for any assessment decision to be reviewed.</w:t>
      </w:r>
    </w:p>
    <w:sectPr>
      <w:headerReference w:type="default" r:id="rId7"/>
      <w:footerReference w:type="default" r:id="rId8"/>
      <w:pgSz w:w="11906" w:h="16838" w:orient="portrait"/>
      <w:pgMar w:top="1008" w:right="1008" w:bottom="1008"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4D0" w:sz="4"/>
      </w:pBdr>
      <w:spacing w:before="60"/>
    </w:pPr>
    <w:r>
      <w:rPr>
        <w:color w:val="6B6560"/>
        <w:sz w:val="16"/>
        <w:szCs w:val="16"/>
      </w:rPr>
      <w:t xml:space="preserve">About this unit · Issued 30 August 2026 · </w:t>
    </w:r>
    <w:r>
      <w:rPr>
        <w:color w:val="6B6560"/>
        <w:sz w:val="16"/>
        <w:szCs w:val="16"/>
      </w:rPr>
      <w:t xml:space="preserve">Page </w:t>
    </w:r>
    <w:r>
      <w:rPr>
        <w:color w:val="6B6560"/>
        <w:sz w:val="16"/>
        <w:szCs w:val="16"/>
      </w:rPr>
      <w:fldChar w:fldCharType="begin"/>
      <w:instrText xml:space="preserve">PAGE</w:instrText>
      <w:fldChar w:fldCharType="separate"/>
      <w:fldChar w:fldCharType="end"/>
    </w:r>
    <w:r>
      <w:rPr>
        <w:color w:val="6B6560"/>
        <w:sz w:val="16"/>
        <w:szCs w:val="16"/>
      </w:rPr>
      <w:t xml:space="preserve"> of </w:t>
    </w:r>
    <w:r>
      <w:rPr>
        <w:color w:val="6B6560"/>
        <w:sz w:val="16"/>
        <w:szCs w:val="16"/>
      </w:rPr>
      <w:fldChar w:fldCharType="begin"/>
      <w:instrText xml:space="preserve">NUMPAGES</w:instrText>
      <w:fldChar w:fldCharType="separate"/>
      <w:fldChar w:fldCharType="end"/>
    </w:r>
  </w:p>
  <w:p>
    <w:r>
      <w:rPr>
        <w:color w:val="6B6560"/>
        <w:sz w:val="16"/>
        <w:szCs w:val="16"/>
      </w:rPr>
      <w:t xml:space="preserve">CPCCCM2006 Apply basic levelling procedures is © Commonwealth of Australia, reproduced from training.gov.au under a Creative Commons Attribution-NoDerivatives licence. https://training.gov.au/training/details/CPCCCM2006</w:t>
    </w:r>
  </w:p>
  <w:p>
    <w:r>
      <w:rPr>
        <w:color w:val="6B6560"/>
        <w:sz w:val="16"/>
        <w:szCs w:val="16"/>
      </w:rPr>
      <w:t xml:space="preserve">Learning content and assessment items in this document were drafted with AI assistance and must be reviewed by a qualified assessor before use with students.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8D4D0" w:sz="4"/>
      </w:pBdr>
      <w:spacing w:after="60"/>
      <w:jc w:val="right"/>
    </w:pPr>
    <w:r>
      <w:rPr>
        <w:color w:val="6B6560"/>
        <w:sz w:val="16"/>
        <w:szCs w:val="16"/>
      </w:rPr>
      <w:t xml:space="preserve">About this unit · CPCCCM2006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2026-08-30T08:30:28.450Z</dcterms:created>
  <dcterms:modified xsi:type="dcterms:W3CDTF">2026-08-30T08:30:28.450Z</dcterms:modified>
</cp:coreProperties>
</file>

<file path=docProps/custom.xml><?xml version="1.0" encoding="utf-8"?>
<Properties xmlns="http://schemas.openxmlformats.org/officeDocument/2006/custom-properties" xmlns:vt="http://schemas.openxmlformats.org/officeDocument/2006/docPropsVTypes"/>
</file>